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512"/>
      </w:tblGrid>
      <w:tr>
        <w:trPr>
          <w:cantSplit/>
        </w:trPr>
        <w:tc>
          <w:tcPr>
            <w:tcW w:type="dxa" w:w="10512"/>
            <w:tcBorders>
              <w:top w:val="none" w:color="FFFFFF" w:sz="0"/>
              <w:left w:val="none" w:color="FFFFFF" w:sz="0"/>
              <w:bottom w:val="none" w:color="FFFFFF" w:sz="0"/>
              <w:right w:val="none" w:color="FFFFFF" w:sz="0"/>
            </w:tcBorders>
            <w:shd w:fill="16306E" w:color="auto" w:val="clear"/>
            <w:tcMar>
              <w:top w:type="dxa" w:w="180"/>
              <w:left w:type="dxa" w:w="300"/>
              <w:bottom w:type="dxa" w:w="200"/>
              <w:right w:type="dxa" w:w="300"/>
            </w:tcMar>
          </w:tcPr>
          <w:p>
            <w:pPr>
              <w:pStyle w:val="Normal"/>
              <w:keepLines/>
              <w:spacing w:after="40" w:before="0" w:line="240" w:lineRule="auto"/>
            </w:pPr>
            <w:r>
              <w:rPr>
                <w:rFonts w:ascii="Aptos" w:cs="Aptos" w:eastAsia="Aptos" w:hAnsi="Aptos"/>
                <w:b/>
                <w:bCs/>
                <w:color w:val="F6B34D"/>
                <w:spacing w:val="30"/>
                <w:sz w:val="15"/>
                <w:szCs w:val="15"/>
              </w:rPr>
              <w:t xml:space="preserve">STATE OF THE INDUSTRY   ·   SEPTEMBER 2026</w:t>
            </w:r>
          </w:p>
          <w:p>
            <w:pPr>
              <w:pStyle w:val="Normal"/>
              <w:keepLines/>
              <w:spacing w:after="40" w:before="0" w:line="240" w:lineRule="auto"/>
            </w:pPr>
            <w:r>
              <w:rPr>
                <w:rFonts w:ascii="Georgia" w:cs="Georgia" w:eastAsia="Georgia" w:hAnsi="Georgia"/>
                <w:color w:val="FFFFFF"/>
                <w:sz w:val="54"/>
                <w:szCs w:val="54"/>
              </w:rPr>
              <w:t xml:space="preserve">Aging in Place 2026</w:t>
            </w:r>
          </w:p>
          <w:p>
            <w:pPr>
              <w:pStyle w:val="Normal"/>
              <w:keepLines/>
              <w:spacing w:after="0" w:before="0" w:line="250" w:lineRule="auto"/>
            </w:pPr>
            <w:r>
              <w:rPr>
                <w:rFonts w:ascii="Aptos" w:cs="Aptos" w:eastAsia="Aptos" w:hAnsi="Aptos"/>
                <w:color w:val="D5DDEE"/>
                <w:sz w:val="21"/>
                <w:szCs w:val="21"/>
              </w:rPr>
              <w:t xml:space="preserve">Three in four adults over 50 want to stay home. Fewer than four in a hundred homes are ready.</w:t>
            </w:r>
          </w:p>
        </w:tc>
      </w:tr>
    </w:tbl>
    <w:p>
      <w:pPr>
        <w:pStyle w:val="Normal"/>
        <w:spacing w:after="0" w:before="0" w:line="110" w:lineRule="exact"/>
      </w:pPr>
      <w:r>
        <w:rPr>
          <w:sz w:val="2"/>
          <w:szCs w:val="2"/>
        </w:rPr>
        <w:t xml:space="preserve"/>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752"/>
        <w:gridCol w:w="1752"/>
        <w:gridCol w:w="1752"/>
        <w:gridCol w:w="1752"/>
        <w:gridCol w:w="1752"/>
        <w:gridCol w:w="1752"/>
      </w:tblGrid>
      <w:tr>
        <w:trPr>
          <w:cantSplit/>
        </w:trPr>
        <w:tc>
          <w:tcPr>
            <w:tcW w:type="dxa" w:w="1752"/>
            <w:tcBorders>
              <w:top w:val="single" w:color="16306E" w:sz="18"/>
              <w:left w:val="none" w:color="FFFFFF" w:sz="0"/>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64.6M</w:t>
            </w:r>
          </w:p>
          <w:p>
            <w:pPr>
              <w:pStyle w:val="Normal"/>
              <w:keepLines/>
              <w:spacing w:after="0" w:before="0" w:line="228" w:lineRule="auto"/>
            </w:pPr>
            <w:r>
              <w:rPr>
                <w:rFonts w:ascii="Aptos" w:cs="Aptos" w:eastAsia="Aptos" w:hAnsi="Aptos"/>
                <w:color w:val="454A55"/>
                <w:sz w:val="15"/>
                <w:szCs w:val="15"/>
              </w:rPr>
              <w:t xml:space="preserve">Americans aged 65+ in 2025</w:t>
            </w:r>
          </w:p>
        </w:tc>
        <w:tc>
          <w:tcPr>
            <w:tcW w:type="dxa" w:w="1752"/>
            <w:tcBorders>
              <w:top w:val="single" w:color="16306E" w:sz="18"/>
              <w:left w:val="single" w:color="FFFFFF" w:sz="18"/>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4.18M</w:t>
            </w:r>
          </w:p>
          <w:p>
            <w:pPr>
              <w:pStyle w:val="Normal"/>
              <w:keepLines/>
              <w:spacing w:after="0" w:before="0" w:line="228" w:lineRule="auto"/>
            </w:pPr>
            <w:r>
              <w:rPr>
                <w:rFonts w:ascii="Aptos" w:cs="Aptos" w:eastAsia="Aptos" w:hAnsi="Aptos"/>
                <w:color w:val="454A55"/>
                <w:sz w:val="15"/>
                <w:szCs w:val="15"/>
              </w:rPr>
              <w:t xml:space="preserve">turned 65 in 2025, a record</w:t>
            </w:r>
          </w:p>
        </w:tc>
        <w:tc>
          <w:tcPr>
            <w:tcW w:type="dxa" w:w="1752"/>
            <w:tcBorders>
              <w:top w:val="single" w:color="16306E" w:sz="18"/>
              <w:left w:val="single" w:color="FFFFFF" w:sz="18"/>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2029</w:t>
            </w:r>
          </w:p>
          <w:p>
            <w:pPr>
              <w:pStyle w:val="Normal"/>
              <w:keepLines/>
              <w:spacing w:after="0" w:before="0" w:line="228" w:lineRule="auto"/>
            </w:pPr>
            <w:r>
              <w:rPr>
                <w:rFonts w:ascii="Aptos" w:cs="Aptos" w:eastAsia="Aptos" w:hAnsi="Aptos"/>
                <w:color w:val="454A55"/>
                <w:sz w:val="15"/>
                <w:szCs w:val="15"/>
              </w:rPr>
              <w:t xml:space="preserve">older adults outnumber children</w:t>
            </w:r>
          </w:p>
        </w:tc>
        <w:tc>
          <w:tcPr>
            <w:tcW w:type="dxa" w:w="1752"/>
            <w:tcBorders>
              <w:top w:val="single" w:color="16306E" w:sz="18"/>
              <w:left w:val="single" w:color="FFFFFF" w:sz="18"/>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$6,200</w:t>
            </w:r>
          </w:p>
          <w:p>
            <w:pPr>
              <w:pStyle w:val="Normal"/>
              <w:keepLines/>
              <w:spacing w:after="0" w:before="0" w:line="228" w:lineRule="auto"/>
            </w:pPr>
            <w:r>
              <w:rPr>
                <w:rFonts w:ascii="Aptos" w:cs="Aptos" w:eastAsia="Aptos" w:hAnsi="Aptos"/>
                <w:color w:val="454A55"/>
                <w:sz w:val="15"/>
                <w:szCs w:val="15"/>
              </w:rPr>
              <w:t xml:space="preserve">median monthly assisted living rate</w:t>
            </w:r>
          </w:p>
        </w:tc>
        <w:tc>
          <w:tcPr>
            <w:tcW w:type="dxa" w:w="1752"/>
            <w:tcBorders>
              <w:top w:val="single" w:color="16306E" w:sz="18"/>
              <w:left w:val="single" w:color="FFFFFF" w:sz="18"/>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63M</w:t>
            </w:r>
          </w:p>
          <w:p>
            <w:pPr>
              <w:pStyle w:val="Normal"/>
              <w:keepLines/>
              <w:spacing w:after="0" w:before="0" w:line="228" w:lineRule="auto"/>
            </w:pPr>
            <w:r>
              <w:rPr>
                <w:rFonts w:ascii="Aptos" w:cs="Aptos" w:eastAsia="Aptos" w:hAnsi="Aptos"/>
                <w:color w:val="454A55"/>
                <w:sz w:val="15"/>
                <w:szCs w:val="15"/>
              </w:rPr>
              <w:t xml:space="preserve">unpaid family caregivers</w:t>
            </w:r>
          </w:p>
        </w:tc>
        <w:tc>
          <w:tcPr>
            <w:tcW w:type="dxa" w:w="1752"/>
            <w:tcBorders>
              <w:top w:val="single" w:color="16306E" w:sz="18"/>
              <w:left w:val="single" w:color="FFFFFF" w:sz="18"/>
              <w:bottom w:val="none" w:color="FFFFFF" w:sz="0"/>
              <w:right w:val="none" w:color="FFFFFF" w:sz="0"/>
            </w:tcBorders>
            <w:shd w:fill="EEF1F6" w:color="auto" w:val="clear"/>
            <w:tcMar>
              <w:top w:type="dxa" w:w="90"/>
              <w:left w:type="dxa" w:w="130"/>
              <w:bottom w:type="dxa" w:w="90"/>
              <w:right w:type="dxa" w:w="90"/>
            </w:tcMar>
            <w:vAlign w:val="top"/>
          </w:tcPr>
          <w:p>
            <w:pPr>
              <w:pStyle w:val="Normal"/>
              <w:keepLines/>
              <w:spacing w:after="20" w:before="0" w:line="240" w:lineRule="auto"/>
            </w:pPr>
            <w:r>
              <w:rPr>
                <w:rFonts w:ascii="Aptos" w:cs="Aptos" w:eastAsia="Aptos" w:hAnsi="Aptos"/>
                <w:b/>
                <w:bCs/>
                <w:color w:val="16306E"/>
                <w:sz w:val="32"/>
                <w:szCs w:val="32"/>
              </w:rPr>
              <w:t xml:space="preserve">$14.9T</w:t>
            </w:r>
          </w:p>
          <w:p>
            <w:pPr>
              <w:pStyle w:val="Normal"/>
              <w:keepLines/>
              <w:spacing w:after="0" w:before="0" w:line="228" w:lineRule="auto"/>
            </w:pPr>
            <w:r>
              <w:rPr>
                <w:rFonts w:ascii="Aptos" w:cs="Aptos" w:eastAsia="Aptos" w:hAnsi="Aptos"/>
                <w:color w:val="454A55"/>
                <w:sz w:val="15"/>
                <w:szCs w:val="15"/>
              </w:rPr>
              <w:t xml:space="preserve">home equity held by owners 62+</w:t>
            </w:r>
          </w:p>
        </w:tc>
      </w:tr>
    </w:tbl>
    <w:p>
      <w:pPr>
        <w:pStyle w:val="SecHead"/>
        <w:keepNext/>
        <w:pBdr>
          <w:bottom w:val="single" w:color="D9DEE6" w:sz="6" w:space="3"/>
        </w:pBdr>
        <w:spacing w:after="70" w:before="170"/>
      </w:pPr>
      <w:r>
        <w:rPr>
          <w:rFonts w:ascii="Georgia" w:cs="Georgia" w:eastAsia="Georgia" w:hAnsi="Georgia"/>
          <w:color w:val="16306E"/>
          <w:sz w:val="27"/>
          <w:szCs w:val="27"/>
        </w:rPr>
        <w:t xml:space="preserve">The bottom line</w:t>
      </w:r>
    </w:p>
    <w:p>
      <w:pPr>
        <w:pStyle w:val="Normal"/>
        <w:keepLines/>
        <w:numPr>
          <w:ilvl w:val="0"/>
          <w:numId w:val="2"/>
        </w:numPr>
        <w:spacing w:after="40" w:before="0" w:line="248" w:lineRule="auto"/>
      </w:pPr>
      <w:r>
        <w:rPr>
          <w:rFonts w:ascii="Aptos" w:cs="Aptos" w:eastAsia="Aptos" w:hAnsi="Aptos"/>
          <w:b/>
          <w:bCs/>
          <w:color w:val="16306E"/>
          <w:sz w:val="19"/>
          <w:szCs w:val="19"/>
        </w:rPr>
        <w:t xml:space="preserve">Demand is locked in. </w:t>
      </w:r>
      <w:r>
        <w:rPr>
          <w:rFonts w:ascii="Aptos" w:cs="Aptos" w:eastAsia="Aptos" w:hAnsi="Aptos"/>
          <w:color w:val="1F2430"/>
          <w:sz w:val="19"/>
          <w:szCs w:val="19"/>
        </w:rPr>
        <w:t xml:space="preserve">64.6 million Americans were 65 or older in 2025, up 16.2 percent since 2020, and a record 4.18 million turned 65 in 2025 alone. Older adults outnumber children from 2029.</w:t>
      </w:r>
    </w:p>
    <w:p>
      <w:pPr>
        <w:pStyle w:val="Normal"/>
        <w:keepLines/>
        <w:numPr>
          <w:ilvl w:val="0"/>
          <w:numId w:val="2"/>
        </w:numPr>
        <w:spacing w:after="40" w:before="0" w:line="248" w:lineRule="auto"/>
      </w:pPr>
      <w:r>
        <w:rPr>
          <w:rFonts w:ascii="Aptos" w:cs="Aptos" w:eastAsia="Aptos" w:hAnsi="Aptos"/>
          <w:b/>
          <w:bCs/>
          <w:color w:val="16306E"/>
          <w:sz w:val="19"/>
          <w:szCs w:val="19"/>
        </w:rPr>
        <w:t xml:space="preserve">The homes are not ready. </w:t>
      </w:r>
      <w:r>
        <w:rPr>
          <w:rFonts w:ascii="Aptos" w:cs="Aptos" w:eastAsia="Aptos" w:hAnsi="Aptos"/>
          <w:color w:val="1F2430"/>
          <w:sz w:val="19"/>
          <w:szCs w:val="19"/>
        </w:rPr>
        <w:t xml:space="preserve">75 percent of adults 50 and older want to stay in their current home, yet fewer than 4 percent of homes combine single-floor living, a no-step entry and wide halls and doorways.</w:t>
      </w:r>
    </w:p>
    <w:p>
      <w:pPr>
        <w:pStyle w:val="Normal"/>
        <w:keepLines/>
        <w:numPr>
          <w:ilvl w:val="0"/>
          <w:numId w:val="2"/>
        </w:numPr>
        <w:spacing w:after="40" w:before="0" w:line="248" w:lineRule="auto"/>
      </w:pPr>
      <w:r>
        <w:rPr>
          <w:rFonts w:ascii="Aptos" w:cs="Aptos" w:eastAsia="Aptos" w:hAnsi="Aptos"/>
          <w:b/>
          <w:bCs/>
          <w:color w:val="16306E"/>
          <w:sz w:val="19"/>
          <w:szCs w:val="19"/>
        </w:rPr>
        <w:t xml:space="preserve">Staying home is mostly self-funded. </w:t>
      </w:r>
      <w:r>
        <w:rPr>
          <w:rFonts w:ascii="Aptos" w:cs="Aptos" w:eastAsia="Aptos" w:hAnsi="Aptos"/>
          <w:color w:val="1F2430"/>
          <w:sz w:val="19"/>
          <w:szCs w:val="19"/>
        </w:rPr>
        <w:t xml:space="preserve">Medicaid pays 61 percent of formal long-term care, but only after people spend down, and few payers cover home modifications. Owners 62 and older hold a record $14.92 trillion of home equity.</w:t>
      </w:r>
    </w:p>
    <w:p>
      <w:pPr>
        <w:pStyle w:val="Normal"/>
        <w:keepLines/>
        <w:numPr>
          <w:ilvl w:val="0"/>
          <w:numId w:val="2"/>
        </w:numPr>
        <w:spacing w:after="40" w:before="0" w:line="248" w:lineRule="auto"/>
      </w:pPr>
      <w:r>
        <w:rPr>
          <w:rFonts w:ascii="Aptos" w:cs="Aptos" w:eastAsia="Aptos" w:hAnsi="Aptos"/>
          <w:b/>
          <w:bCs/>
          <w:color w:val="16306E"/>
          <w:sz w:val="19"/>
          <w:szCs w:val="19"/>
        </w:rPr>
        <w:t xml:space="preserve">Home care wins on price only part-time. </w:t>
      </w:r>
      <w:r>
        <w:rPr>
          <w:rFonts w:ascii="Aptos" w:cs="Aptos" w:eastAsia="Aptos" w:hAnsi="Aptos"/>
          <w:color w:val="1F2430"/>
          <w:sz w:val="19"/>
          <w:szCs w:val="19"/>
        </w:rPr>
        <w:t xml:space="preserve">At the $35 national median, in-home help costs more than the $6,200 assisted living median once it passes about 41 hours a week.</w:t>
      </w:r>
    </w:p>
    <w:p>
      <w:pPr>
        <w:pStyle w:val="Normal"/>
        <w:keepLines/>
        <w:numPr>
          <w:ilvl w:val="0"/>
          <w:numId w:val="2"/>
        </w:numPr>
        <w:spacing w:after="40" w:before="0" w:line="248" w:lineRule="auto"/>
      </w:pPr>
      <w:r>
        <w:rPr>
          <w:rFonts w:ascii="Aptos" w:cs="Aptos" w:eastAsia="Aptos" w:hAnsi="Aptos"/>
          <w:b/>
          <w:bCs/>
          <w:color w:val="16306E"/>
          <w:sz w:val="19"/>
          <w:szCs w:val="19"/>
        </w:rPr>
        <w:t xml:space="preserve">The remodeling niche is open. </w:t>
      </w:r>
      <w:r>
        <w:rPr>
          <w:rFonts w:ascii="Aptos" w:cs="Aptos" w:eastAsia="Aptos" w:hAnsi="Aptos"/>
          <w:color w:val="1F2430"/>
          <w:sz w:val="19"/>
          <w:szCs w:val="19"/>
        </w:rPr>
        <w:t xml:space="preserve">Only 56 percent of remodelers do aging-in-place work, the lowest share since 2004, while 73 percent say requests are rising.</w:t>
      </w:r>
    </w:p>
    <w:p>
      <w:pPr>
        <w:pStyle w:val="SecHead"/>
        <w:keepNext/>
        <w:pBdr>
          <w:bottom w:val="single" w:color="D9DEE6" w:sz="6" w:space="3"/>
        </w:pBdr>
        <w:spacing w:after="70" w:before="140"/>
      </w:pPr>
      <w:r>
        <w:rPr>
          <w:rFonts w:ascii="Georgia" w:cs="Georgia" w:eastAsia="Georgia" w:hAnsi="Georgia"/>
          <w:color w:val="16306E"/>
          <w:sz w:val="27"/>
          <w:szCs w:val="27"/>
        </w:rPr>
        <w:t xml:space="preserve">Who is coming, and who pays</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136"/>
        <w:gridCol w:w="240"/>
        <w:gridCol w:w="5136"/>
      </w:tblGrid>
      <w:tr>
        <w:trPr>
          <w:cantSplit/>
        </w:trPr>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6B7280"/>
                <w:spacing w:val="20"/>
                <w:sz w:val="14"/>
                <w:szCs w:val="14"/>
              </w:rPr>
              <w:t xml:space="preserve">FIGURE 1   </w:t>
            </w:r>
            <w:r>
              <w:rPr>
                <w:rFonts w:ascii="Aptos" w:cs="Aptos" w:eastAsia="Aptos" w:hAnsi="Aptos"/>
                <w:b/>
                <w:bCs/>
                <w:color w:val="1F2430"/>
                <w:sz w:val="18"/>
                <w:szCs w:val="18"/>
              </w:rPr>
              <w:t xml:space="preserve">Americans aged 65+ and 85+, millions</w:t>
            </w:r>
          </w:p>
          <w:p>
            <w:pPr>
              <w:pStyle w:val="Normal"/>
              <w:keepLines/>
              <w:spacing w:after="0" w:before="0" w:line="240" w:lineRule="auto"/>
            </w:pPr>
            <w:r>
              <w:drawing>
                <wp:inline distT="0" distB="0" distL="0" distR="0">
                  <wp:extent cx="3143250" cy="1695450"/>
                  <wp:effectExtent t="0" r="0" b="0" l="0"/>
                  <wp:docPr id="1" name="wave" descr="Line chart. Americans aged 65 and over rise from 55.9 million in 2020 to 88.8 million in 2060; those aged 85 and over rise from 6.3 million to 17.5 million." title="Line chart. Americans aged 65 and over rise from 55.9 million in 2020 to 88.8 million in 2060; those aged 85 and over rise from 6.3 million to 17.5 mil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3143250" cy="1695450"/>
                          </a:xfrm>
                          <a:prstGeom prst="rect">
                            <a:avLst/>
                          </a:prstGeom>
                        </pic:spPr>
                      </pic:pic>
                    </a:graphicData>
                  </a:graphic>
                </wp:inline>
              </w:drawing>
            </w:r>
          </w:p>
          <w:p>
            <w:pPr>
              <w:pStyle w:val="Normal"/>
              <w:keepLines/>
              <w:spacing w:after="0" w:before="40" w:line="232" w:lineRule="auto"/>
            </w:pPr>
            <w:r>
              <w:rPr>
                <w:rFonts w:ascii="Aptos" w:cs="Aptos" w:eastAsia="Aptos" w:hAnsi="Aptos"/>
                <w:color w:val="6B7280"/>
                <w:sz w:val="14"/>
                <w:szCs w:val="14"/>
              </w:rPr>
              <w:t xml:space="preserve">Census Bureau estimates to 2025; 2023 projections from 2030 (shaded). The 85+ group roughly doubles between 2025 and 2040.</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6B7280"/>
                <w:spacing w:val="20"/>
                <w:sz w:val="14"/>
                <w:szCs w:val="14"/>
              </w:rPr>
              <w:t xml:space="preserve">FIGURE 2   </w:t>
            </w:r>
            <w:r>
              <w:rPr>
                <w:rFonts w:ascii="Aptos" w:cs="Aptos" w:eastAsia="Aptos" w:hAnsi="Aptos"/>
                <w:b/>
                <w:bCs/>
                <w:color w:val="1F2430"/>
                <w:sz w:val="18"/>
                <w:szCs w:val="18"/>
              </w:rPr>
              <w:t xml:space="preserve">Who pays for long-term care</w:t>
            </w:r>
          </w:p>
          <w:p>
            <w:pPr>
              <w:pStyle w:val="Normal"/>
              <w:keepLines/>
              <w:spacing w:after="0" w:before="0" w:line="240" w:lineRule="auto"/>
            </w:pPr>
            <w:r>
              <w:drawing>
                <wp:inline distT="0" distB="0" distL="0" distR="0">
                  <wp:extent cx="3143250" cy="1381125"/>
                  <wp:effectExtent t="0" r="0" b="0" l="0"/>
                  <wp:docPr id="1" name="donut" descr="Donut chart. Of $415 billion of long-term care spending in 2022, Medicaid paid 61 percent, out of pocket 17 percent, and other public and private payers 21 percent." title="Donut chart. Of $415 billion of long-term care spending in 2022, Medicaid paid 61 percent, out of pocket 17 percent, and other public and private payers 21 per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3143250" cy="1381125"/>
                          </a:xfrm>
                          <a:prstGeom prst="rect">
                            <a:avLst/>
                          </a:prstGeom>
                        </pic:spPr>
                      </pic:pic>
                    </a:graphicData>
                  </a:graphic>
                </wp:inline>
              </w:drawing>
            </w:r>
          </w:p>
          <w:p>
            <w:pPr>
              <w:pStyle w:val="Normal"/>
              <w:keepLines/>
              <w:spacing w:after="0" w:before="40" w:line="232" w:lineRule="auto"/>
            </w:pPr>
            <w:r>
              <w:rPr>
                <w:rFonts w:ascii="Aptos" w:cs="Aptos" w:eastAsia="Aptos" w:hAnsi="Aptos"/>
                <w:color w:val="6B7280"/>
                <w:sz w:val="14"/>
                <w:szCs w:val="14"/>
              </w:rPr>
              <w:t xml:space="preserve">KFF, 2022. The 2023 total was $459 billion, Medicaid still 61 percent. Excludes Medicare post-acute care.</w:t>
            </w:r>
          </w:p>
          <w:p>
            <w:pPr>
              <w:pStyle w:val="Normal"/>
              <w:keepLines/>
              <w:spacing w:after="0" w:before="80" w:line="244" w:lineRule="auto"/>
            </w:pPr>
            <w:r>
              <w:rPr>
                <w:rFonts w:ascii="Aptos" w:cs="Aptos" w:eastAsia="Aptos" w:hAnsi="Aptos"/>
                <w:i/>
                <w:iCs/>
                <w:color w:val="454A55"/>
                <w:sz w:val="17"/>
                <w:szCs w:val="17"/>
              </w:rPr>
              <w:t xml:space="preserve">Few payers cover home modifications, so families pay for them from savings, income and home equity.</w:t>
            </w:r>
          </w:p>
        </w:tc>
      </w:tr>
    </w:tbl>
    <w:p>
      <w:pPr>
        <w:pStyle w:val="SecHead"/>
        <w:keepNext/>
        <w:pBdr>
          <w:bottom w:val="single" w:color="D9DEE6" w:sz="6" w:space="3"/>
        </w:pBdr>
        <w:spacing w:after="70" w:before="140"/>
      </w:pPr>
      <w:r>
        <w:rPr>
          <w:rFonts w:ascii="Georgia" w:cs="Georgia" w:eastAsia="Georgia" w:hAnsi="Georgia"/>
          <w:color w:val="16306E"/>
          <w:sz w:val="27"/>
          <w:szCs w:val="27"/>
        </w:rPr>
        <w:t xml:space="preserve">The cost of care: the honest math</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136"/>
        <w:gridCol w:w="240"/>
        <w:gridCol w:w="5136"/>
      </w:tblGrid>
      <w:tr>
        <w:trPr>
          <w:cantSplit/>
        </w:trPr>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6B7280"/>
                <w:spacing w:val="20"/>
                <w:sz w:val="14"/>
                <w:szCs w:val="14"/>
              </w:rPr>
              <w:t xml:space="preserve">FIGURE 3   </w:t>
            </w:r>
            <w:r>
              <w:rPr>
                <w:rFonts w:ascii="Aptos" w:cs="Aptos" w:eastAsia="Aptos" w:hAnsi="Aptos"/>
                <w:b/>
                <w:bCs/>
                <w:color w:val="1F2430"/>
                <w:sz w:val="18"/>
                <w:szCs w:val="18"/>
              </w:rPr>
              <w:t xml:space="preserve">Monthly cost of home care by weekly hours</w:t>
            </w:r>
          </w:p>
          <w:p>
            <w:pPr>
              <w:pStyle w:val="Normal"/>
              <w:keepLines/>
              <w:spacing w:after="0" w:before="0" w:line="240" w:lineRule="auto"/>
            </w:pPr>
            <w:r>
              <w:drawing>
                <wp:inline distT="0" distB="0" distL="0" distR="0">
                  <wp:extent cx="3143250" cy="1647825"/>
                  <wp:effectExtent t="0" r="0" b="0" l="0"/>
                  <wp:docPr id="1" name="hours" descr="Bar chart. The monthly cost of an in-home caregiver at $35 an hour rises from $1,517 at 10 hours a week to $9,100 at 60 hours, crossing the $6,200 assisted living median between 40 and 44 hours." title="Bar chart. The monthly cost of an in-home caregiver at $35 an hour rises from $1,517 at 10 hours a week to $9,100 at 60 hours, crossing the $6,200 assisted living median between 40 and 44 h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3143250" cy="1647825"/>
                          </a:xfrm>
                          <a:prstGeom prst="rect">
                            <a:avLst/>
                          </a:prstGeom>
                        </pic:spPr>
                      </pic:pic>
                    </a:graphicData>
                  </a:graphic>
                </wp:inline>
              </w:drawing>
            </w:r>
          </w:p>
          <w:p>
            <w:pPr>
              <w:pStyle w:val="Normal"/>
              <w:keepLines/>
              <w:spacing w:after="0" w:before="40" w:line="232" w:lineRule="auto"/>
            </w:pPr>
            <w:r>
              <w:rPr>
                <w:rFonts w:ascii="Aptos" w:cs="Aptos" w:eastAsia="Aptos" w:hAnsi="Aptos"/>
                <w:color w:val="6B7280"/>
                <w:sz w:val="14"/>
                <w:szCs w:val="14"/>
              </w:rPr>
              <w:t xml:space="preserve">CareScout 2025 national medians. Monthly cost = $35 × hours × 52 ÷ 12.</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1F2430"/>
                <w:sz w:val="18"/>
                <w:szCs w:val="18"/>
              </w:rPr>
              <w:t xml:space="preserve">2025 median monthly costs</w:t>
            </w:r>
          </w:p>
          <w:tbl>
            <w:tblPr>
              <w:tblW w:type="dxa" w:w="513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2150"/>
              <w:gridCol w:w="1000"/>
              <w:gridCol w:w="993"/>
              <w:gridCol w:w="993"/>
            </w:tblGrid>
            <w:tr>
              <w:trPr>
                <w:cantSplit/>
                <w:tblHeader/>
              </w:trPr>
              <w:tc>
                <w:tcPr>
                  <w:tcW w:type="dxa" w:w="2150"/>
                  <w:tcBorders>
                    <w:top w:val="none" w:color="FFFFFF" w:sz="0"/>
                    <w:left w:val="none" w:color="FFFFFF" w:sz="0"/>
                    <w:bottom w:val="single" w:color="D9DEE6" w:sz="4"/>
                    <w:right w:val="none" w:color="FFFFFF" w:sz="0"/>
                  </w:tcBorders>
                  <w:shd w:fill="EEF1F6" w:color="auto" w:val="clear"/>
                  <w:tcMar>
                    <w:top w:type="dxa" w:w="40"/>
                    <w:left w:type="dxa" w:w="70"/>
                    <w:bottom w:type="dxa" w:w="40"/>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Setting</w:t>
                  </w:r>
                </w:p>
              </w:tc>
              <w:tc>
                <w:tcPr>
                  <w:tcW w:type="dxa" w:w="1000"/>
                  <w:tcBorders>
                    <w:top w:val="none" w:color="FFFFFF" w:sz="0"/>
                    <w:left w:val="none" w:color="FFFFFF" w:sz="0"/>
                    <w:bottom w:val="single" w:color="D9DEE6" w:sz="4"/>
                    <w:right w:val="none" w:color="FFFFFF" w:sz="0"/>
                  </w:tcBorders>
                  <w:shd w:fill="EEF1F6" w:color="auto" w:val="clear"/>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US median</w:t>
                  </w:r>
                </w:p>
              </w:tc>
              <w:tc>
                <w:tcPr>
                  <w:tcW w:type="dxa" w:w="993"/>
                  <w:tcBorders>
                    <w:top w:val="none" w:color="FFFFFF" w:sz="0"/>
                    <w:left w:val="none" w:color="FFFFFF" w:sz="0"/>
                    <w:bottom w:val="single" w:color="D9DEE6" w:sz="4"/>
                    <w:right w:val="none" w:color="FFFFFF" w:sz="0"/>
                  </w:tcBorders>
                  <w:shd w:fill="EEF1F6" w:color="auto" w:val="clear"/>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Highest</w:t>
                  </w:r>
                </w:p>
              </w:tc>
              <w:tc>
                <w:tcPr>
                  <w:tcW w:type="dxa" w:w="993"/>
                  <w:tcBorders>
                    <w:top w:val="none" w:color="FFFFFF" w:sz="0"/>
                    <w:left w:val="none" w:color="FFFFFF" w:sz="0"/>
                    <w:bottom w:val="single" w:color="D9DEE6" w:sz="4"/>
                    <w:right w:val="none" w:color="FFFFFF" w:sz="0"/>
                  </w:tcBorders>
                  <w:shd w:fill="EEF1F6" w:color="auto" w:val="clear"/>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Lowest</w:t>
                  </w:r>
                </w:p>
              </w:tc>
            </w:tr>
            <w:tr>
              <w:trPr>
                <w:cantSplit/>
              </w:trPr>
              <w:tc>
                <w:tcPr>
                  <w:tcW w:type="dxa" w:w="215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pPr>
                  <w:r>
                    <w:rPr>
                      <w:rFonts w:ascii="Aptos" w:cs="Aptos" w:eastAsia="Aptos" w:hAnsi="Aptos"/>
                      <w:color w:val="1F2430"/>
                      <w:sz w:val="16"/>
                      <w:szCs w:val="16"/>
                    </w:rPr>
                    <w:t xml:space="preserve">Assisted living</w:t>
                  </w:r>
                </w:p>
              </w:tc>
              <w:tc>
                <w:tcPr>
                  <w:tcW w:type="dxa" w:w="100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$6,200</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HI $12,096</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MS $4,369</w:t>
                  </w:r>
                </w:p>
              </w:tc>
            </w:tr>
            <w:tr>
              <w:trPr>
                <w:cantSplit/>
              </w:trPr>
              <w:tc>
                <w:tcPr>
                  <w:tcW w:type="dxa" w:w="215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pPr>
                  <w:r>
                    <w:rPr>
                      <w:rFonts w:ascii="Aptos" w:cs="Aptos" w:eastAsia="Aptos" w:hAnsi="Aptos"/>
                      <w:color w:val="1F2430"/>
                      <w:sz w:val="16"/>
                      <w:szCs w:val="16"/>
                    </w:rPr>
                    <w:t xml:space="preserve">Home care, 44 hours a week</w:t>
                  </w:r>
                </w:p>
              </w:tc>
              <w:tc>
                <w:tcPr>
                  <w:tcW w:type="dxa" w:w="100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$6,673</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WY $8,771</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MS $4,576</w:t>
                  </w:r>
                </w:p>
              </w:tc>
            </w:tr>
            <w:tr>
              <w:trPr>
                <w:cantSplit/>
              </w:trPr>
              <w:tc>
                <w:tcPr>
                  <w:tcW w:type="dxa" w:w="215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pPr>
                  <w:r>
                    <w:rPr>
                      <w:rFonts w:ascii="Aptos" w:cs="Aptos" w:eastAsia="Aptos" w:hAnsi="Aptos"/>
                      <w:color w:val="1F2430"/>
                      <w:sz w:val="16"/>
                      <w:szCs w:val="16"/>
                    </w:rPr>
                    <w:t xml:space="preserve">Nursing home, semi-private</w:t>
                  </w:r>
                </w:p>
              </w:tc>
              <w:tc>
                <w:tcPr>
                  <w:tcW w:type="dxa" w:w="100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$9,581</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AK $27,831</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TX $5,627</w:t>
                  </w:r>
                </w:p>
              </w:tc>
            </w:tr>
            <w:tr>
              <w:trPr>
                <w:cantSplit/>
              </w:trPr>
              <w:tc>
                <w:tcPr>
                  <w:tcW w:type="dxa" w:w="215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pPr>
                  <w:r>
                    <w:rPr>
                      <w:rFonts w:ascii="Aptos" w:cs="Aptos" w:eastAsia="Aptos" w:hAnsi="Aptos"/>
                      <w:color w:val="1F2430"/>
                      <w:sz w:val="16"/>
                      <w:szCs w:val="16"/>
                    </w:rPr>
                    <w:t xml:space="preserve">Nursing home, private</w:t>
                  </w:r>
                </w:p>
              </w:tc>
              <w:tc>
                <w:tcPr>
                  <w:tcW w:type="dxa" w:w="1000"/>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$10,798</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OR $18,448</w:t>
                  </w:r>
                </w:p>
              </w:tc>
              <w:tc>
                <w:tcPr>
                  <w:tcW w:type="dxa" w:w="993"/>
                  <w:tcBorders>
                    <w:top w:val="none" w:color="FFFFFF" w:sz="0"/>
                    <w:left w:val="none" w:color="FFFFFF" w:sz="0"/>
                    <w:bottom w:val="single" w:color="D9DEE6" w:sz="4"/>
                    <w:right w:val="none" w:color="FFFFFF" w:sz="0"/>
                  </w:tcBorders>
                  <w:tcMar>
                    <w:top w:type="dxa" w:w="40"/>
                    <w:left w:type="dxa" w:w="70"/>
                    <w:bottom w:type="dxa" w:w="4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TX $7,604</w:t>
                  </w:r>
                </w:p>
              </w:tc>
            </w:tr>
          </w:tbl>
          <w:p>
            <w:pPr>
              <w:pStyle w:val="Normal"/>
              <w:keepLines/>
              <w:spacing w:after="0" w:before="100" w:line="244" w:lineRule="auto"/>
            </w:pPr>
            <w:r>
              <w:rPr>
                <w:rFonts w:ascii="Aptos" w:cs="Aptos" w:eastAsia="Aptos" w:hAnsi="Aptos"/>
                <w:i/>
                <w:iCs/>
                <w:color w:val="454A55"/>
                <w:sz w:val="17"/>
                <w:szCs w:val="17"/>
              </w:rPr>
              <w:t xml:space="preserve">At 44 hours a week, in-home care costs more than assisted living in 34 of 50 states. Below about 41 hours it is cheaper everywhere, and most families buy help for part of the day, not all of it.</w:t>
            </w:r>
          </w:p>
          <w:p>
            <w:pPr>
              <w:pStyle w:val="Normal"/>
              <w:keepLines/>
              <w:spacing w:after="0" w:before="70" w:line="232" w:lineRule="auto"/>
            </w:pPr>
            <w:r>
              <w:rPr>
                <w:rFonts w:ascii="Aptos" w:cs="Aptos" w:eastAsia="Aptos" w:hAnsi="Aptos"/>
                <w:color w:val="6B7280"/>
                <w:sz w:val="14"/>
                <w:szCs w:val="14"/>
              </w:rPr>
              <w:t xml:space="preserve">CareScout Cost of Care Survey 2025, July to November 2025, 387 metro areas. Home care is priced at $35 an hour. No figures are published for the District of Columbia, or for private nursing rooms in Alaska.</w:t>
            </w:r>
          </w:p>
        </w:tc>
      </w:tr>
    </w:tbl>
    <w:p>
      <w:pPr>
        <w:pStyle w:val="SecHead"/>
        <w:keepNext/>
        <w:pageBreakBefore/>
        <w:pBdr>
          <w:bottom w:val="single" w:color="D9DEE6" w:sz="6" w:space="3"/>
        </w:pBdr>
        <w:spacing w:after="70" w:before="0"/>
      </w:pPr>
      <w:r>
        <w:rPr>
          <w:rFonts w:ascii="Georgia" w:cs="Georgia" w:eastAsia="Georgia" w:hAnsi="Georgia"/>
          <w:color w:val="16306E"/>
          <w:sz w:val="27"/>
          <w:szCs w:val="27"/>
        </w:rPr>
        <w:t xml:space="preserve">Where the opportunity is</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460"/>
        <w:gridCol w:w="240"/>
        <w:gridCol w:w="4812"/>
      </w:tblGrid>
      <w:tr>
        <w:trPr>
          <w:cantSplit/>
        </w:trPr>
        <w:tc>
          <w:tcPr>
            <w:tcW w:type="dxa" w:w="546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6B7280"/>
                <w:spacing w:val="20"/>
                <w:sz w:val="14"/>
                <w:szCs w:val="14"/>
              </w:rPr>
              <w:t xml:space="preserve">FIGURE 4   </w:t>
            </w:r>
            <w:r>
              <w:rPr>
                <w:rFonts w:ascii="Aptos" w:cs="Aptos" w:eastAsia="Aptos" w:hAnsi="Aptos"/>
                <w:b/>
                <w:bCs/>
                <w:color w:val="1F2430"/>
                <w:sz w:val="18"/>
                <w:szCs w:val="18"/>
              </w:rPr>
              <w:t xml:space="preserve">Aging-in-Place Opportunity Index by state</w:t>
            </w:r>
          </w:p>
          <w:p>
            <w:pPr>
              <w:pStyle w:val="Normal"/>
              <w:keepLines/>
              <w:spacing w:after="0" w:before="0" w:line="240" w:lineRule="auto"/>
            </w:pPr>
            <w:r>
              <w:drawing>
                <wp:inline distT="0" distB="0" distL="0" distR="0">
                  <wp:extent cx="3048000" cy="2305050"/>
                  <wp:effectExtent t="0" r="0" b="0" l="0"/>
                  <wp:docPr id="1" name="map" descr="Map of the United States shaded by the Opportunity Index in five bands. California, Florida, Hawaii, New York and Massachusetts score highest; the Dakotas, Iowa, Wyoming and the District of Columbia score lowest." title="Map of the United States shaded by the Opportunity Index in five bands. California, Florida, Hawaii, New York and Massachusetts score highest; the Dakotas, Iowa, Wyoming and the District of Columbia score low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3048000" cy="2305050"/>
                          </a:xfrm>
                          <a:prstGeom prst="rect">
                            <a:avLst/>
                          </a:prstGeom>
                        </pic:spPr>
                      </pic:pic>
                    </a:graphicData>
                  </a:graphic>
                </wp:inline>
              </w:drawing>
            </w:r>
          </w:p>
          <w:p>
            <w:pPr>
              <w:pStyle w:val="Normal"/>
              <w:keepLines/>
              <w:spacing w:after="0" w:before="40" w:line="232" w:lineRule="auto"/>
            </w:pPr>
            <w:r>
              <w:rPr>
                <w:rFonts w:ascii="Aptos" w:cs="Aptos" w:eastAsia="Aptos" w:hAnsi="Aptos"/>
                <w:color w:val="6B7280"/>
                <w:sz w:val="14"/>
                <w:szCs w:val="14"/>
              </w:rPr>
              <w:t xml:space="preserve">Five equal-count bands; darker scores higher. Census Vintage 2025, CareScout 2025 and Zillow Home Value Index, July 2026.</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4812"/>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1F2430"/>
                <w:sz w:val="18"/>
                <w:szCs w:val="18"/>
              </w:rPr>
              <w:t xml:space="preserve">Top 10 states</w:t>
            </w:r>
          </w:p>
          <w:tbl>
            <w:tblPr>
              <w:tblW w:type="dxa" w:w="48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80"/>
              <w:gridCol w:w="1640"/>
              <w:gridCol w:w="820"/>
              <w:gridCol w:w="960"/>
              <w:gridCol w:w="1012"/>
            </w:tblGrid>
            <w:tr>
              <w:trPr>
                <w:cantSplit/>
                <w:tblHeader/>
              </w:trPr>
              <w:tc>
                <w:tcPr>
                  <w:tcW w:type="dxa" w:w="380"/>
                  <w:tcBorders>
                    <w:top w:val="none" w:color="FFFFFF" w:sz="0"/>
                    <w:left w:val="none" w:color="FFFFFF" w:sz="0"/>
                    <w:bottom w:val="single" w:color="D9DEE6" w:sz="4"/>
                    <w:right w:val="none" w:color="FFFFFF" w:sz="0"/>
                  </w:tcBorders>
                  <w:shd w:fill="EEF1F6" w:color="auto" w:val="clear"/>
                  <w:tcMar>
                    <w:top w:type="dxa" w:w="30"/>
                    <w:left w:type="dxa" w:w="70"/>
                    <w:bottom w:type="dxa" w:w="30"/>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w:t>
                  </w:r>
                </w:p>
              </w:tc>
              <w:tc>
                <w:tcPr>
                  <w:tcW w:type="dxa" w:w="1640"/>
                  <w:tcBorders>
                    <w:top w:val="none" w:color="FFFFFF" w:sz="0"/>
                    <w:left w:val="none" w:color="FFFFFF" w:sz="0"/>
                    <w:bottom w:val="single" w:color="D9DEE6" w:sz="4"/>
                    <w:right w:val="none" w:color="FFFFFF" w:sz="0"/>
                  </w:tcBorders>
                  <w:shd w:fill="EEF1F6" w:color="auto" w:val="clear"/>
                  <w:tcMar>
                    <w:top w:type="dxa" w:w="30"/>
                    <w:left w:type="dxa" w:w="70"/>
                    <w:bottom w:type="dxa" w:w="30"/>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State</w:t>
                  </w:r>
                </w:p>
              </w:tc>
              <w:tc>
                <w:tcPr>
                  <w:tcW w:type="dxa" w:w="820"/>
                  <w:tcBorders>
                    <w:top w:val="none" w:color="FFFFFF" w:sz="0"/>
                    <w:left w:val="none" w:color="FFFFFF" w:sz="0"/>
                    <w:bottom w:val="single" w:color="D9DEE6" w:sz="4"/>
                    <w:right w:val="none" w:color="FFFFFF" w:sz="0"/>
                  </w:tcBorders>
                  <w:shd w:fill="EEF1F6" w:color="auto" w:val="clear"/>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Index</w:t>
                  </w:r>
                </w:p>
              </w:tc>
              <w:tc>
                <w:tcPr>
                  <w:tcW w:type="dxa" w:w="960"/>
                  <w:tcBorders>
                    <w:top w:val="none" w:color="FFFFFF" w:sz="0"/>
                    <w:left w:val="none" w:color="FFFFFF" w:sz="0"/>
                    <w:bottom w:val="single" w:color="D9DEE6" w:sz="4"/>
                    <w:right w:val="none" w:color="FFFFFF" w:sz="0"/>
                  </w:tcBorders>
                  <w:shd w:fill="EEF1F6" w:color="auto" w:val="clear"/>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65+ share</w:t>
                  </w:r>
                </w:p>
              </w:tc>
              <w:tc>
                <w:tcPr>
                  <w:tcW w:type="dxa" w:w="1012"/>
                  <w:tcBorders>
                    <w:top w:val="none" w:color="FFFFFF" w:sz="0"/>
                    <w:left w:val="none" w:color="FFFFFF" w:sz="0"/>
                    <w:bottom w:val="single" w:color="D9DEE6" w:sz="4"/>
                    <w:right w:val="none" w:color="FFFFFF" w:sz="0"/>
                  </w:tcBorders>
                  <w:shd w:fill="EEF1F6" w:color="auto" w:val="clear"/>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b/>
                      <w:bCs/>
                      <w:color w:val="454A55"/>
                      <w:sz w:val="16"/>
                      <w:szCs w:val="16"/>
                    </w:rPr>
                    <w:t xml:space="preserve">65+ growth</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1</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California</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65.7</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17.6%</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14.6%</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2</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Florida</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63.7</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22.9%</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16.7%</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3</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Hawaii</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61.7</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23.3%</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14.5%</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4</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New York</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55.9</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19.3%</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14.1%</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5</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Massachusetts</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55.6</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19.9%</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15.6%</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6</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Texas</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52.8</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14.9%</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19.6%</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7</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New Jersey</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52.5</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18.5%</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15.8%</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8</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Delaware</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50.1</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22.8%</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23.4%</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9</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New Hampshire</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50.1</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23.0%</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21.5%</w:t>
                  </w:r>
                </w:p>
              </w:tc>
            </w:tr>
            <w:tr>
              <w:trPr>
                <w:cantSplit/>
              </w:trPr>
              <w:tc>
                <w:tcPr>
                  <w:tcW w:type="dxa" w:w="38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10</w:t>
                  </w:r>
                </w:p>
              </w:tc>
              <w:tc>
                <w:tcPr>
                  <w:tcW w:type="dxa" w:w="164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pPr>
                  <w:r>
                    <w:rPr>
                      <w:rFonts w:ascii="Aptos" w:cs="Aptos" w:eastAsia="Aptos" w:hAnsi="Aptos"/>
                      <w:color w:val="1F2430"/>
                      <w:sz w:val="16"/>
                      <w:szCs w:val="16"/>
                    </w:rPr>
                    <w:t xml:space="preserve">North Carolina</w:t>
                  </w:r>
                </w:p>
              </w:tc>
              <w:tc>
                <w:tcPr>
                  <w:tcW w:type="dxa" w:w="82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49.8</w:t>
                  </w:r>
                </w:p>
              </w:tc>
              <w:tc>
                <w:tcPr>
                  <w:tcW w:type="dxa" w:w="960"/>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19.1%</w:t>
                  </w:r>
                </w:p>
              </w:tc>
              <w:tc>
                <w:tcPr>
                  <w:tcW w:type="dxa" w:w="1012"/>
                  <w:tcBorders>
                    <w:top w:val="none" w:color="FFFFFF" w:sz="0"/>
                    <w:left w:val="none" w:color="FFFFFF" w:sz="0"/>
                    <w:bottom w:val="single" w:color="D9DEE6" w:sz="4"/>
                    <w:right w:val="none" w:color="FFFFFF" w:sz="0"/>
                  </w:tcBorders>
                  <w:tcMar>
                    <w:top w:type="dxa" w:w="30"/>
                    <w:left w:type="dxa" w:w="70"/>
                    <w:bottom w:type="dxa" w:w="30"/>
                    <w:right w:type="dxa" w:w="70"/>
                  </w:tcMar>
                  <w:vAlign w:val="center"/>
                </w:tcPr>
                <w:p>
                  <w:pPr>
                    <w:pStyle w:val="Normal"/>
                    <w:keepLines/>
                    <w:spacing w:after="0" w:before="0" w:line="232" w:lineRule="auto"/>
                    <w:jc w:val="right"/>
                  </w:pPr>
                  <w:r>
                    <w:rPr>
                      <w:rFonts w:ascii="Aptos" w:cs="Aptos" w:eastAsia="Aptos" w:hAnsi="Aptos"/>
                      <w:color w:val="1F2430"/>
                      <w:sz w:val="16"/>
                      <w:szCs w:val="16"/>
                    </w:rPr>
                    <w:t xml:space="preserve">17.8%</w:t>
                  </w:r>
                </w:p>
              </w:tc>
            </w:tr>
          </w:tbl>
          <w:p>
            <w:pPr>
              <w:pStyle w:val="Normal"/>
              <w:keepLines/>
              <w:spacing w:after="20" w:before="80" w:line="240" w:lineRule="auto"/>
            </w:pPr>
            <w:r>
              <w:rPr>
                <w:rFonts w:ascii="Aptos" w:cs="Aptos" w:eastAsia="Aptos" w:hAnsi="Aptos"/>
                <w:b/>
                <w:bCs/>
                <w:color w:val="1F2430"/>
                <w:sz w:val="16"/>
                <w:szCs w:val="16"/>
              </w:rPr>
              <w:t xml:space="preserve">Oldest: </w:t>
            </w:r>
            <w:r>
              <w:rPr>
                <w:rFonts w:ascii="Aptos" w:cs="Aptos" w:eastAsia="Aptos" w:hAnsi="Aptos"/>
                <w:color w:val="1F2430"/>
                <w:sz w:val="16"/>
                <w:szCs w:val="16"/>
              </w:rPr>
              <w:t xml:space="preserve">Maine 24.6%, Vermont 24.1%, Hawaii 23.3% aged 65+.</w:t>
            </w:r>
          </w:p>
          <w:p>
            <w:pPr>
              <w:pStyle w:val="Normal"/>
              <w:keepLines/>
              <w:spacing w:after="30" w:before="0" w:line="240" w:lineRule="auto"/>
            </w:pPr>
            <w:r>
              <w:rPr>
                <w:rFonts w:ascii="Aptos" w:cs="Aptos" w:eastAsia="Aptos" w:hAnsi="Aptos"/>
                <w:b/>
                <w:bCs/>
                <w:color w:val="1F2430"/>
                <w:sz w:val="16"/>
                <w:szCs w:val="16"/>
              </w:rPr>
              <w:t xml:space="preserve">Fastest 65+ growth, 2020 to 2025: </w:t>
            </w:r>
            <w:r>
              <w:rPr>
                <w:rFonts w:ascii="Aptos" w:cs="Aptos" w:eastAsia="Aptos" w:hAnsi="Aptos"/>
                <w:color w:val="1F2430"/>
                <w:sz w:val="16"/>
                <w:szCs w:val="16"/>
              </w:rPr>
              <w:t xml:space="preserve">Delaware 23.4%, New Hampshire 21.5%, Idaho 21.0%.</w:t>
            </w:r>
          </w:p>
          <w:p>
            <w:pPr>
              <w:pStyle w:val="Normal"/>
              <w:keepLines/>
              <w:spacing w:after="0" w:before="40" w:line="232" w:lineRule="auto"/>
            </w:pPr>
            <w:r>
              <w:rPr>
                <w:rFonts w:ascii="Aptos" w:cs="Aptos" w:eastAsia="Aptos" w:hAnsi="Aptos"/>
                <w:color w:val="6B7280"/>
                <w:sz w:val="14"/>
                <w:szCs w:val="14"/>
              </w:rPr>
              <w:t xml:space="preserve">Opportunity Index: this report’s composite of 65+ population and growth, share aged 75+, the care cost gap and home values. It is not a quality-of-life ranking.</w:t>
            </w:r>
          </w:p>
        </w:tc>
      </w:tr>
    </w:tbl>
    <w:p>
      <w:pPr>
        <w:pStyle w:val="SecHead"/>
        <w:keepNext/>
        <w:pBdr>
          <w:bottom w:val="single" w:color="D9DEE6" w:sz="6" w:space="3"/>
        </w:pBdr>
        <w:spacing w:after="70" w:before="140"/>
      </w:pPr>
      <w:r>
        <w:rPr>
          <w:rFonts w:ascii="Georgia" w:cs="Georgia" w:eastAsia="Georgia" w:hAnsi="Georgia"/>
          <w:color w:val="16306E"/>
          <w:sz w:val="27"/>
          <w:szCs w:val="27"/>
        </w:rPr>
        <w:t xml:space="preserve">Pressure points</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344"/>
        <w:gridCol w:w="240"/>
        <w:gridCol w:w="3344"/>
        <w:gridCol w:w="240"/>
        <w:gridCol w:w="3344"/>
      </w:tblGrid>
      <w:tr>
        <w:trPr>
          <w:cantSplit/>
        </w:trPr>
        <w:tc>
          <w:tcPr>
            <w:tcW w:type="dxa" w:w="3344"/>
            <w:tcBorders>
              <w:top w:val="single" w:color="2A78D6" w:sz="18"/>
              <w:left w:val="none" w:color="FFFFFF" w:sz="0"/>
              <w:bottom w:val="none" w:color="FFFFFF" w:sz="0"/>
              <w:right w:val="none" w:color="FFFFFF" w:sz="0"/>
            </w:tcBorders>
            <w:tcMar>
              <w:top w:type="dxa" w:w="80"/>
              <w:left w:type="dxa" w:w="0"/>
              <w:bottom w:type="dxa" w:w="0"/>
              <w:right w:type="dxa" w:w="0"/>
            </w:tcMar>
            <w:vAlign w:val="top"/>
          </w:tcPr>
          <w:p>
            <w:pPr>
              <w:pStyle w:val="Normal"/>
              <w:keepLines/>
              <w:spacing w:after="40" w:before="0" w:line="240" w:lineRule="auto"/>
            </w:pPr>
            <w:r>
              <w:rPr>
                <w:rFonts w:ascii="Aptos" w:cs="Aptos" w:eastAsia="Aptos" w:hAnsi="Aptos"/>
                <w:b/>
                <w:bCs/>
                <w:color w:val="16306E"/>
                <w:sz w:val="19"/>
                <w:szCs w:val="19"/>
              </w:rPr>
              <w:t xml:space="preserve">Workforce</w:t>
            </w:r>
          </w:p>
          <w:p>
            <w:pPr>
              <w:pStyle w:val="Normal"/>
              <w:keepLines/>
              <w:numPr>
                <w:ilvl w:val="0"/>
                <w:numId w:val="3"/>
              </w:numPr>
              <w:spacing w:after="35" w:before="0" w:line="240" w:lineRule="auto"/>
            </w:pPr>
            <w:r>
              <w:rPr>
                <w:rFonts w:ascii="Aptos" w:cs="Aptos" w:eastAsia="Aptos" w:hAnsi="Aptos"/>
                <w:color w:val="1F2430"/>
                <w:sz w:val="16"/>
                <w:szCs w:val="16"/>
              </w:rPr>
              <w:t xml:space="preserve">5.4 million direct care workers; home care pays a $16.77 median wage.</w:t>
            </w:r>
          </w:p>
          <w:p>
            <w:pPr>
              <w:pStyle w:val="Normal"/>
              <w:keepLines/>
              <w:numPr>
                <w:ilvl w:val="0"/>
                <w:numId w:val="3"/>
              </w:numPr>
              <w:spacing w:after="35" w:before="0" w:line="240" w:lineRule="auto"/>
            </w:pPr>
            <w:r>
              <w:rPr>
                <w:rFonts w:ascii="Aptos" w:cs="Aptos" w:eastAsia="Aptos" w:hAnsi="Aptos"/>
                <w:color w:val="1F2430"/>
                <w:sz w:val="16"/>
                <w:szCs w:val="16"/>
              </w:rPr>
              <w:t xml:space="preserve">681,000 new home care jobs and 6.1 million openings, 2024 to 2034.</w:t>
            </w:r>
          </w:p>
          <w:p>
            <w:pPr>
              <w:pStyle w:val="Normal"/>
              <w:keepLines/>
              <w:numPr>
                <w:ilvl w:val="0"/>
                <w:numId w:val="3"/>
              </w:numPr>
              <w:spacing w:after="35" w:before="0" w:line="240" w:lineRule="auto"/>
            </w:pPr>
            <w:r>
              <w:rPr>
                <w:rFonts w:ascii="Aptos" w:cs="Aptos" w:eastAsia="Aptos" w:hAnsi="Aptos"/>
                <w:color w:val="1F2430"/>
                <w:sz w:val="16"/>
                <w:szCs w:val="16"/>
              </w:rPr>
              <w:t xml:space="preserve">Immigrants are 30 percent of workers; turnover ran 75 percent in 2024.</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3344"/>
            <w:tcBorders>
              <w:top w:val="single" w:color="EB6834" w:sz="18"/>
              <w:left w:val="none" w:color="FFFFFF" w:sz="0"/>
              <w:bottom w:val="none" w:color="FFFFFF" w:sz="0"/>
              <w:right w:val="none" w:color="FFFFFF" w:sz="0"/>
            </w:tcBorders>
            <w:tcMar>
              <w:top w:type="dxa" w:w="80"/>
              <w:left w:type="dxa" w:w="0"/>
              <w:bottom w:type="dxa" w:w="0"/>
              <w:right w:type="dxa" w:w="0"/>
            </w:tcMar>
            <w:vAlign w:val="top"/>
          </w:tcPr>
          <w:p>
            <w:pPr>
              <w:pStyle w:val="Normal"/>
              <w:keepLines/>
              <w:spacing w:after="40" w:before="0" w:line="240" w:lineRule="auto"/>
            </w:pPr>
            <w:r>
              <w:rPr>
                <w:rFonts w:ascii="Aptos" w:cs="Aptos" w:eastAsia="Aptos" w:hAnsi="Aptos"/>
                <w:b/>
                <w:bCs/>
                <w:color w:val="16306E"/>
                <w:sz w:val="19"/>
                <w:szCs w:val="19"/>
              </w:rPr>
              <w:t xml:space="preserve">Payers and policy</w:t>
            </w:r>
          </w:p>
          <w:p>
            <w:pPr>
              <w:pStyle w:val="Normal"/>
              <w:keepLines/>
              <w:numPr>
                <w:ilvl w:val="0"/>
                <w:numId w:val="3"/>
              </w:numPr>
              <w:spacing w:after="35" w:before="0" w:line="240" w:lineRule="auto"/>
            </w:pPr>
            <w:r>
              <w:rPr>
                <w:rFonts w:ascii="Aptos" w:cs="Aptos" w:eastAsia="Aptos" w:hAnsi="Aptos"/>
                <w:color w:val="1F2430"/>
                <w:sz w:val="16"/>
                <w:szCs w:val="16"/>
              </w:rPr>
              <w:t xml:space="preserve">607,000 people wait for Medicaid home care, 32 months on average.</w:t>
            </w:r>
          </w:p>
          <w:p>
            <w:pPr>
              <w:pStyle w:val="Normal"/>
              <w:keepLines/>
              <w:numPr>
                <w:ilvl w:val="0"/>
                <w:numId w:val="3"/>
              </w:numPr>
              <w:spacing w:after="35" w:before="0" w:line="240" w:lineRule="auto"/>
            </w:pPr>
            <w:r>
              <w:rPr>
                <w:rFonts w:ascii="Aptos" w:cs="Aptos" w:eastAsia="Aptos" w:hAnsi="Aptos"/>
                <w:color w:val="1F2430"/>
                <w:sz w:val="16"/>
                <w:szCs w:val="16"/>
              </w:rPr>
              <w:t xml:space="preserve">The 2025 reconciliation law cuts Medicaid about $911 billion by 2034.</w:t>
            </w:r>
          </w:p>
          <w:p>
            <w:pPr>
              <w:pStyle w:val="Normal"/>
              <w:keepLines/>
              <w:numPr>
                <w:ilvl w:val="0"/>
                <w:numId w:val="3"/>
              </w:numPr>
              <w:spacing w:after="35" w:before="0" w:line="240" w:lineRule="auto"/>
            </w:pPr>
            <w:r>
              <w:rPr>
                <w:rFonts w:ascii="Aptos" w:cs="Aptos" w:eastAsia="Aptos" w:hAnsi="Aptos"/>
                <w:color w:val="1F2430"/>
                <w:sz w:val="16"/>
                <w:szCs w:val="16"/>
              </w:rPr>
              <w:t xml:space="preserve">Hospital at home is funded to 2030; WA Cares began paying July 2026.</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3344"/>
            <w:tcBorders>
              <w:top w:val="single" w:color="1BAF7A" w:sz="18"/>
              <w:left w:val="none" w:color="FFFFFF" w:sz="0"/>
              <w:bottom w:val="none" w:color="FFFFFF" w:sz="0"/>
              <w:right w:val="none" w:color="FFFFFF" w:sz="0"/>
            </w:tcBorders>
            <w:tcMar>
              <w:top w:type="dxa" w:w="80"/>
              <w:left w:type="dxa" w:w="0"/>
              <w:bottom w:type="dxa" w:w="0"/>
              <w:right w:type="dxa" w:w="0"/>
            </w:tcMar>
            <w:vAlign w:val="top"/>
          </w:tcPr>
          <w:p>
            <w:pPr>
              <w:pStyle w:val="Normal"/>
              <w:keepLines/>
              <w:spacing w:after="40" w:before="0" w:line="240" w:lineRule="auto"/>
            </w:pPr>
            <w:r>
              <w:rPr>
                <w:rFonts w:ascii="Aptos" w:cs="Aptos" w:eastAsia="Aptos" w:hAnsi="Aptos"/>
                <w:b/>
                <w:bCs/>
                <w:color w:val="16306E"/>
                <w:sz w:val="19"/>
                <w:szCs w:val="19"/>
              </w:rPr>
              <w:t xml:space="preserve">Falls</w:t>
            </w:r>
          </w:p>
          <w:p>
            <w:pPr>
              <w:pStyle w:val="Normal"/>
              <w:keepLines/>
              <w:numPr>
                <w:ilvl w:val="0"/>
                <w:numId w:val="3"/>
              </w:numPr>
              <w:spacing w:after="35" w:before="0" w:line="240" w:lineRule="auto"/>
            </w:pPr>
            <w:r>
              <w:rPr>
                <w:rFonts w:ascii="Aptos" w:cs="Aptos" w:eastAsia="Aptos" w:hAnsi="Aptos"/>
                <w:color w:val="1F2430"/>
                <w:sz w:val="16"/>
                <w:szCs w:val="16"/>
              </w:rPr>
              <w:t xml:space="preserve">One in four adults 65 and older falls each year, over 14 million people.</w:t>
            </w:r>
          </w:p>
          <w:p>
            <w:pPr>
              <w:pStyle w:val="Normal"/>
              <w:keepLines/>
              <w:numPr>
                <w:ilvl w:val="0"/>
                <w:numId w:val="3"/>
              </w:numPr>
              <w:spacing w:after="35" w:before="0" w:line="240" w:lineRule="auto"/>
            </w:pPr>
            <w:r>
              <w:rPr>
                <w:rFonts w:ascii="Aptos" w:cs="Aptos" w:eastAsia="Aptos" w:hAnsi="Aptos"/>
                <w:color w:val="1F2430"/>
                <w:sz w:val="16"/>
                <w:szCs w:val="16"/>
              </w:rPr>
              <w:t xml:space="preserve">4.5 million emergency visits and more than 43,000 deaths in 2024.</w:t>
            </w:r>
          </w:p>
          <w:p>
            <w:pPr>
              <w:pStyle w:val="Normal"/>
              <w:keepLines/>
              <w:numPr>
                <w:ilvl w:val="0"/>
                <w:numId w:val="3"/>
              </w:numPr>
              <w:spacing w:after="35" w:before="0" w:line="240" w:lineRule="auto"/>
            </w:pPr>
            <w:r>
              <w:rPr>
                <w:rFonts w:ascii="Aptos" w:cs="Aptos" w:eastAsia="Aptos" w:hAnsi="Aptos"/>
                <w:color w:val="1F2430"/>
                <w:sz w:val="16"/>
                <w:szCs w:val="16"/>
              </w:rPr>
              <w:t xml:space="preserve">$80 billion in medical costs in 2020; the death rate is up 21 percent since 2018.</w:t>
            </w:r>
          </w:p>
        </w:tc>
      </w:tr>
    </w:tbl>
    <w:p>
      <w:pPr>
        <w:pStyle w:val="SecHead"/>
        <w:keepNext/>
        <w:pBdr>
          <w:bottom w:val="single" w:color="D9DEE6" w:sz="6" w:space="3"/>
        </w:pBdr>
        <w:spacing w:after="70" w:before="140"/>
      </w:pPr>
      <w:r>
        <w:rPr>
          <w:rFonts w:ascii="Georgia" w:cs="Georgia" w:eastAsia="Georgia" w:hAnsi="Georgia"/>
          <w:color w:val="16306E"/>
          <w:sz w:val="27"/>
          <w:szCs w:val="27"/>
        </w:rPr>
        <w:t xml:space="preserve">Companies to watch</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2150"/>
        <w:gridCol w:w="4050"/>
        <w:gridCol w:w="4312"/>
      </w:tblGrid>
      <w:tr>
        <w:trPr>
          <w:cantSplit/>
          <w:tblHeader/>
        </w:trPr>
        <w:tc>
          <w:tcPr>
            <w:tcW w:type="dxa" w:w="2150"/>
            <w:tcBorders>
              <w:top w:val="none" w:color="FFFFFF" w:sz="0"/>
              <w:left w:val="none" w:color="FFFFFF" w:sz="0"/>
              <w:bottom w:val="single" w:color="D9DEE6" w:sz="4"/>
              <w:right w:val="none" w:color="FFFFFF" w:sz="0"/>
            </w:tcBorders>
            <w:shd w:fill="EEF1F6" w:color="auto" w:val="clear"/>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Company</w:t>
            </w:r>
          </w:p>
        </w:tc>
        <w:tc>
          <w:tcPr>
            <w:tcW w:type="dxa" w:w="4050"/>
            <w:tcBorders>
              <w:top w:val="none" w:color="FFFFFF" w:sz="0"/>
              <w:left w:val="none" w:color="FFFFFF" w:sz="0"/>
              <w:bottom w:val="single" w:color="D9DEE6" w:sz="4"/>
              <w:right w:val="none" w:color="FFFFFF" w:sz="0"/>
            </w:tcBorders>
            <w:shd w:fill="EEF1F6" w:color="auto" w:val="clear"/>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Latest verified milestone</w:t>
            </w:r>
          </w:p>
        </w:tc>
        <w:tc>
          <w:tcPr>
            <w:tcW w:type="dxa" w:w="4312"/>
            <w:tcBorders>
              <w:top w:val="none" w:color="FFFFFF" w:sz="0"/>
              <w:left w:val="none" w:color="FFFFFF" w:sz="0"/>
              <w:bottom w:val="single" w:color="D9DEE6" w:sz="4"/>
              <w:right w:val="none" w:color="FFFFFF" w:sz="0"/>
            </w:tcBorders>
            <w:shd w:fill="EEF1F6" w:color="auto" w:val="clear"/>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454A55"/>
                <w:sz w:val="16"/>
                <w:szCs w:val="16"/>
              </w:rPr>
              <w:t xml:space="preserve">Why it matters</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Lifeway Mobility</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Bought Center Span and Redispan in June 2025</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Home modification consolidator now in 35+ states</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TruBlue Home Service Ally</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135 units at the end of 2025; revenue up about 30%</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Fastest-growing aging-in-place franchise</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Leaf Home</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Acquired Erie Home, September 2025; 2,400 installers</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Consumer lead engine now selling stairlifts and tubs</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Arlo Technologies</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Acquired Aloe Care Health, April 2026</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Fall detection becomes a smart-home subscription</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Sensi.AI</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$45 million Series C, October 2025</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Ambient AI enters home care agencies’ daily work</w:t>
            </w:r>
          </w:p>
        </w:tc>
      </w:tr>
      <w:tr>
        <w:trPr>
          <w:cantSplit/>
        </w:trPr>
        <w:tc>
          <w:tcPr>
            <w:tcW w:type="dxa" w:w="21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b/>
                <w:bCs/>
                <w:color w:val="1F2430"/>
                <w:sz w:val="16"/>
                <w:szCs w:val="16"/>
              </w:rPr>
              <w:t xml:space="preserve">DispatchHealth</w:t>
            </w:r>
          </w:p>
        </w:tc>
        <w:tc>
          <w:tcPr>
            <w:tcW w:type="dxa" w:w="4050"/>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Merged with Medically Home, May 2025</w:t>
            </w:r>
          </w:p>
        </w:tc>
        <w:tc>
          <w:tcPr>
            <w:tcW w:type="dxa" w:w="4312"/>
            <w:tcBorders>
              <w:top w:val="none" w:color="FFFFFF" w:sz="0"/>
              <w:left w:val="none" w:color="FFFFFF" w:sz="0"/>
              <w:bottom w:val="single" w:color="D9DEE6" w:sz="4"/>
              <w:right w:val="none" w:color="FFFFFF" w:sz="0"/>
            </w:tcBorders>
            <w:tcMar>
              <w:top w:type="dxa" w:w="36"/>
              <w:left w:type="dxa" w:w="70"/>
              <w:bottom w:type="dxa" w:w="36"/>
              <w:right w:type="dxa" w:w="70"/>
            </w:tcMar>
            <w:vAlign w:val="center"/>
          </w:tcPr>
          <w:p>
            <w:pPr>
              <w:pStyle w:val="Normal"/>
              <w:keepLines/>
              <w:spacing w:after="0" w:before="0" w:line="232" w:lineRule="auto"/>
            </w:pPr>
            <w:r>
              <w:rPr>
                <w:rFonts w:ascii="Aptos" w:cs="Aptos" w:eastAsia="Aptos" w:hAnsi="Aptos"/>
                <w:color w:val="1F2430"/>
                <w:sz w:val="16"/>
                <w:szCs w:val="16"/>
              </w:rPr>
              <w:t xml:space="preserve">Largest independent hospital-at-home platform</w:t>
            </w:r>
          </w:p>
        </w:tc>
      </w:tr>
    </w:tbl>
    <w:p>
      <w:pPr>
        <w:pStyle w:val="SecHead"/>
        <w:keepNext/>
        <w:pBdr>
          <w:bottom w:val="single" w:color="D9DEE6" w:sz="6" w:space="3"/>
        </w:pBdr>
        <w:spacing w:after="70" w:before="140"/>
      </w:pPr>
      <w:r>
        <w:rPr>
          <w:rFonts w:ascii="Georgia" w:cs="Georgia" w:eastAsia="Georgia" w:hAnsi="Georgia"/>
          <w:color w:val="16306E"/>
          <w:sz w:val="27"/>
          <w:szCs w:val="27"/>
        </w:rPr>
        <w:t xml:space="preserve">Outlook, and what operators should do</w:t>
      </w:r>
    </w:p>
    <w:tbl>
      <w:tblPr>
        <w:tblW w:type="dxa" w:w="10512"/>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136"/>
        <w:gridCol w:w="240"/>
        <w:gridCol w:w="5136"/>
      </w:tblGrid>
      <w:tr>
        <w:trPr>
          <w:cantSplit/>
        </w:trPr>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1F2430"/>
                <w:sz w:val="18"/>
                <w:szCs w:val="18"/>
              </w:rPr>
              <w:t xml:space="preserve">Outlook, 2027 to 2030</w:t>
            </w:r>
          </w:p>
          <w:p>
            <w:pPr>
              <w:pStyle w:val="Normal"/>
              <w:keepLines/>
              <w:spacing w:after="45" w:before="0" w:line="244" w:lineRule="auto"/>
            </w:pPr>
            <w:r>
              <w:rPr>
                <w:rFonts w:ascii="Aptos" w:cs="Aptos" w:eastAsia="Aptos" w:hAnsi="Aptos"/>
                <w:b/>
                <w:bCs/>
                <w:color w:val="0B5D2A"/>
                <w:spacing w:val="10"/>
                <w:sz w:val="13"/>
                <w:szCs w:val="13"/>
                <w:shd w:fill="E4F4EA" w:color="auto" w:val="clear"/>
              </w:rPr>
              <w:t xml:space="preserve"> HIGH </w:t>
            </w:r>
            <w:r>
              <w:rPr>
                <w:rFonts w:ascii="Aptos" w:cs="Aptos" w:eastAsia="Aptos" w:hAnsi="Aptos"/>
                <w:color w:val="1F2430"/>
                <w:sz w:val="17"/>
                <w:szCs w:val="17"/>
              </w:rPr>
              <w:t xml:space="preserve">  Demand for in-home help outruns supply every year to 2030.</w:t>
            </w:r>
          </w:p>
          <w:p>
            <w:pPr>
              <w:pStyle w:val="Normal"/>
              <w:keepLines/>
              <w:spacing w:after="45" w:before="0" w:line="244" w:lineRule="auto"/>
            </w:pPr>
            <w:r>
              <w:rPr>
                <w:rFonts w:ascii="Aptos" w:cs="Aptos" w:eastAsia="Aptos" w:hAnsi="Aptos"/>
                <w:b/>
                <w:bCs/>
                <w:color w:val="0B5D2A"/>
                <w:spacing w:val="10"/>
                <w:sz w:val="13"/>
                <w:szCs w:val="13"/>
                <w:shd w:fill="E4F4EA" w:color="auto" w:val="clear"/>
              </w:rPr>
              <w:t xml:space="preserve"> HIGH </w:t>
            </w:r>
            <w:r>
              <w:rPr>
                <w:rFonts w:ascii="Aptos" w:cs="Aptos" w:eastAsia="Aptos" w:hAnsi="Aptos"/>
                <w:color w:val="1F2430"/>
                <w:sz w:val="17"/>
                <w:szCs w:val="17"/>
              </w:rPr>
              <w:t xml:space="preserve">  Bathrooms and entries stay the core of home modification.</w:t>
            </w:r>
          </w:p>
          <w:p>
            <w:pPr>
              <w:pStyle w:val="Normal"/>
              <w:keepLines/>
              <w:spacing w:after="45" w:before="0" w:line="244" w:lineRule="auto"/>
            </w:pPr>
            <w:r>
              <w:rPr>
                <w:rFonts w:ascii="Aptos" w:cs="Aptos" w:eastAsia="Aptos" w:hAnsi="Aptos"/>
                <w:b/>
                <w:bCs/>
                <w:color w:val="0B5D2A"/>
                <w:spacing w:val="10"/>
                <w:sz w:val="13"/>
                <w:szCs w:val="13"/>
                <w:shd w:fill="E4F4EA" w:color="auto" w:val="clear"/>
              </w:rPr>
              <w:t xml:space="preserve"> HIGH </w:t>
            </w:r>
            <w:r>
              <w:rPr>
                <w:rFonts w:ascii="Aptos" w:cs="Aptos" w:eastAsia="Aptos" w:hAnsi="Aptos"/>
                <w:color w:val="1F2430"/>
                <w:sz w:val="17"/>
                <w:szCs w:val="17"/>
              </w:rPr>
              <w:t xml:space="preserve">  Medicaid home care rates tighten from 2027, whatever happens to the 80/20 rule.</w:t>
            </w:r>
          </w:p>
          <w:p>
            <w:pPr>
              <w:pStyle w:val="Normal"/>
              <w:keepLines/>
              <w:spacing w:after="45" w:before="0" w:line="244" w:lineRule="auto"/>
            </w:pPr>
            <w:r>
              <w:rPr>
                <w:rFonts w:ascii="Aptos" w:cs="Aptos" w:eastAsia="Aptos" w:hAnsi="Aptos"/>
                <w:b/>
                <w:bCs/>
                <w:color w:val="7A5200"/>
                <w:spacing w:val="10"/>
                <w:sz w:val="13"/>
                <w:szCs w:val="13"/>
                <w:shd w:fill="FFF1CC" w:color="auto" w:val="clear"/>
              </w:rPr>
              <w:t xml:space="preserve"> MEDIUM </w:t>
            </w:r>
            <w:r>
              <w:rPr>
                <w:rFonts w:ascii="Aptos" w:cs="Aptos" w:eastAsia="Aptos" w:hAnsi="Aptos"/>
                <w:color w:val="1F2430"/>
                <w:sz w:val="17"/>
                <w:szCs w:val="17"/>
              </w:rPr>
              <w:t xml:space="preserve">  Medicare Advantage shifts from broad extras to in-home support for its highest-need members.</w:t>
            </w:r>
          </w:p>
          <w:p>
            <w:pPr>
              <w:pStyle w:val="Normal"/>
              <w:keepLines/>
              <w:spacing w:after="45" w:before="0" w:line="244" w:lineRule="auto"/>
            </w:pPr>
            <w:r>
              <w:rPr>
                <w:rFonts w:ascii="Aptos" w:cs="Aptos" w:eastAsia="Aptos" w:hAnsi="Aptos"/>
                <w:b/>
                <w:bCs/>
                <w:color w:val="4B5160"/>
                <w:spacing w:val="10"/>
                <w:sz w:val="13"/>
                <w:szCs w:val="13"/>
                <w:shd w:fill="ECEEF2" w:color="auto" w:val="clear"/>
              </w:rPr>
              <w:t xml:space="preserve"> LOW </w:t>
            </w:r>
            <w:r>
              <w:rPr>
                <w:rFonts w:ascii="Aptos" w:cs="Aptos" w:eastAsia="Aptos" w:hAnsi="Aptos"/>
                <w:color w:val="1F2430"/>
                <w:sz w:val="17"/>
                <w:szCs w:val="17"/>
              </w:rPr>
              <w:t xml:space="preserve">  A humanoid robot does useful daily work in an older adult’s home before 2030.</w:t>
            </w:r>
          </w:p>
        </w:tc>
        <w:tc>
          <w:tcPr>
            <w:tcW w:type="dxa" w:w="240"/>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spacing w:after="0" w:before="0" w:line="20" w:lineRule="exact"/>
            </w:pPr>
            <w:r>
              <w:rPr>
                <w:sz w:val="2"/>
                <w:szCs w:val="2"/>
              </w:rPr>
              <w:t xml:space="preserve"/>
            </w:r>
          </w:p>
        </w:tc>
        <w:tc>
          <w:tcPr>
            <w:tcW w:type="dxa" w:w="5136"/>
            <w:tcBorders>
              <w:top w:val="none" w:color="FFFFFF" w:sz="0"/>
              <w:left w:val="none" w:color="FFFFFF" w:sz="0"/>
              <w:bottom w:val="none" w:color="FFFFFF" w:sz="0"/>
              <w:right w:val="none" w:color="FFFFFF" w:sz="0"/>
            </w:tcBorders>
            <w:tcMar>
              <w:top w:type="dxa" w:w="0"/>
              <w:left w:type="dxa" w:w="0"/>
              <w:bottom w:type="dxa" w:w="0"/>
              <w:right w:type="dxa" w:w="0"/>
            </w:tcMar>
            <w:vAlign w:val="top"/>
          </w:tcPr>
          <w:p>
            <w:pPr>
              <w:pStyle w:val="Normal"/>
              <w:keepNext/>
              <w:keepLines/>
              <w:spacing w:after="50" w:before="0" w:line="236" w:lineRule="auto"/>
            </w:pPr>
            <w:r>
              <w:rPr>
                <w:rFonts w:ascii="Aptos" w:cs="Aptos" w:eastAsia="Aptos" w:hAnsi="Aptos"/>
                <w:b/>
                <w:bCs/>
                <w:color w:val="1F2430"/>
                <w:sz w:val="18"/>
                <w:szCs w:val="18"/>
              </w:rPr>
              <w:t xml:space="preserve">What operators should do</w:t>
            </w:r>
          </w:p>
          <w:p>
            <w:pPr>
              <w:pStyle w:val="Normal"/>
              <w:keepLines/>
              <w:numPr>
                <w:ilvl w:val="0"/>
                <w:numId w:val="2"/>
              </w:numPr>
              <w:spacing w:after="40" w:before="0" w:line="244" w:lineRule="auto"/>
            </w:pPr>
            <w:r>
              <w:rPr>
                <w:rFonts w:ascii="Aptos" w:cs="Aptos" w:eastAsia="Aptos" w:hAnsi="Aptos"/>
                <w:b/>
                <w:bCs/>
                <w:color w:val="16306E"/>
                <w:sz w:val="17"/>
                <w:szCs w:val="17"/>
              </w:rPr>
              <w:t xml:space="preserve">Package the bathroom and the entry. </w:t>
            </w:r>
            <w:r>
              <w:rPr>
                <w:rFonts w:ascii="Aptos" w:cs="Aptos" w:eastAsia="Aptos" w:hAnsi="Aptos"/>
                <w:color w:val="1F2430"/>
                <w:sz w:val="17"/>
                <w:szCs w:val="17"/>
              </w:rPr>
              <w:t xml:space="preserve">They lead both the demand list and the remodeler install list.</w:t>
            </w:r>
          </w:p>
          <w:p>
            <w:pPr>
              <w:pStyle w:val="Normal"/>
              <w:keepLines/>
              <w:numPr>
                <w:ilvl w:val="0"/>
                <w:numId w:val="2"/>
              </w:numPr>
              <w:spacing w:after="40" w:before="0" w:line="244" w:lineRule="auto"/>
            </w:pPr>
            <w:r>
              <w:rPr>
                <w:rFonts w:ascii="Aptos" w:cs="Aptos" w:eastAsia="Aptos" w:hAnsi="Aptos"/>
                <w:b/>
                <w:bCs/>
                <w:color w:val="16306E"/>
                <w:sz w:val="17"/>
                <w:szCs w:val="17"/>
              </w:rPr>
              <w:t xml:space="preserve">Compete on availability. </w:t>
            </w:r>
            <w:r>
              <w:rPr>
                <w:rFonts w:ascii="Aptos" w:cs="Aptos" w:eastAsia="Aptos" w:hAnsi="Aptos"/>
                <w:color w:val="1F2430"/>
                <w:sz w:val="17"/>
                <w:szCs w:val="17"/>
              </w:rPr>
              <w:t xml:space="preserve">Only 56 percent of remodelers do this work.</w:t>
            </w:r>
          </w:p>
          <w:p>
            <w:pPr>
              <w:pStyle w:val="Normal"/>
              <w:keepLines/>
              <w:numPr>
                <w:ilvl w:val="0"/>
                <w:numId w:val="2"/>
              </w:numPr>
              <w:spacing w:after="40" w:before="0" w:line="244" w:lineRule="auto"/>
            </w:pPr>
            <w:r>
              <w:rPr>
                <w:rFonts w:ascii="Aptos" w:cs="Aptos" w:eastAsia="Aptos" w:hAnsi="Aptos"/>
                <w:b/>
                <w:bCs/>
                <w:color w:val="16306E"/>
                <w:sz w:val="17"/>
                <w:szCs w:val="17"/>
              </w:rPr>
              <w:t xml:space="preserve">Anchor the price to the alternative. </w:t>
            </w:r>
            <w:r>
              <w:rPr>
                <w:rFonts w:ascii="Aptos" w:cs="Aptos" w:eastAsia="Aptos" w:hAnsi="Aptos"/>
                <w:color w:val="1F2430"/>
                <w:sz w:val="17"/>
                <w:szCs w:val="17"/>
              </w:rPr>
              <w:t xml:space="preserve">Assisted living costs $6,200 a month, up 5 percent in a year.</w:t>
            </w:r>
          </w:p>
          <w:p>
            <w:pPr>
              <w:pStyle w:val="Normal"/>
              <w:keepLines/>
              <w:numPr>
                <w:ilvl w:val="0"/>
                <w:numId w:val="2"/>
              </w:numPr>
              <w:spacing w:after="40" w:before="0" w:line="244" w:lineRule="auto"/>
            </w:pPr>
            <w:r>
              <w:rPr>
                <w:rFonts w:ascii="Aptos" w:cs="Aptos" w:eastAsia="Aptos" w:hAnsi="Aptos"/>
                <w:b/>
                <w:bCs/>
                <w:color w:val="16306E"/>
                <w:sz w:val="17"/>
                <w:szCs w:val="17"/>
              </w:rPr>
              <w:t xml:space="preserve">Follow the payers into discharge. </w:t>
            </w:r>
            <w:r>
              <w:rPr>
                <w:rFonts w:ascii="Aptos" w:cs="Aptos" w:eastAsia="Aptos" w:hAnsi="Aptos"/>
                <w:color w:val="1F2430"/>
                <w:sz w:val="17"/>
                <w:szCs w:val="17"/>
              </w:rPr>
              <w:t xml:space="preserve">PACE, special needs plans and hospital at home are repeatable referral sources.</w:t>
            </w:r>
          </w:p>
        </w:tc>
      </w:tr>
    </w:tbl>
    <w:p>
      <w:pPr>
        <w:pStyle w:val="Normal"/>
        <w:keepLines/>
        <w:spacing w:after="0" w:before="100" w:line="228" w:lineRule="auto"/>
      </w:pPr>
      <w:r>
        <w:rPr>
          <w:rFonts w:ascii="Aptos" w:cs="Aptos" w:eastAsia="Aptos" w:hAnsi="Aptos"/>
          <w:color w:val="6B7280"/>
          <w:sz w:val="14"/>
          <w:szCs w:val="14"/>
        </w:rPr>
        <w:t xml:space="preserve">Sources: U.S. Census Bureau (Vintage 2025 estimates; 2023 projections); CareScout Cost of Care Survey 2025; AARP (2024 Home and Community Preferences; Caregiving in the US 2025; Valuing the Invaluable 2026); Harvard Joint Center for Housing Studies; NRMLA and RiskSpan; KFF; CMS and Mathematica; PHI; CDC and NCHS; NAHB; company filings and trade press through September 2026. All 167 sources are linked in the companion interactive report.</w:t>
      </w:r>
    </w:p>
    <w:p>
      <w:pPr>
        <w:pStyle w:val="Normal"/>
        <w:spacing w:after="0" w:before="0" w:line="20" w:lineRule="exact"/>
      </w:pPr>
      <w:r>
        <w:rPr>
          <w:sz w:val="2"/>
          <w:szCs w:val="2"/>
        </w:rPr>
        <w:t xml:space="preserve"/>
      </w:r>
    </w:p>
    <w:sectPr>
      <w:footerReference w:type="default" r:id="rId7"/>
      <w:pgSz w:w="12240" w:h="15840" w:orient="portrait"/>
      <w:pgMar w:top="720" w:right="864" w:bottom="720" w:left="864" w:header="360" w:footer="36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Normal"/>
      <w:pBdr>
        <w:top w:val="single" w:color="D9DEE6" w:sz="4" w:space="4"/>
      </w:pBdr>
      <w:tabs>
        <w:tab w:val="right" w:pos="10512"/>
      </w:tabs>
      <w:spacing w:after="0" w:before="0" w:line="240"/>
    </w:pPr>
    <w:r>
      <w:rPr>
        <w:rFonts w:ascii="Aptos" w:cs="Aptos" w:eastAsia="Aptos" w:hAnsi="Aptos"/>
        <w:color w:val="6B7280"/>
        <w:sz w:val="14"/>
        <w:szCs w:val="14"/>
      </w:rPr>
      <w:t xml:space="preserve">Aging in Place 2026   ·   State of the Industry   ·   September 2026</w:t>
    </w:r>
    <w:r>
      <w:rPr>
        <w:rFonts w:ascii="Aptos" w:cs="Aptos" w:eastAsia="Aptos" w:hAnsi="Aptos"/>
        <w:color w:val="6B7280"/>
        <w:sz w:val="14"/>
        <w:szCs w:val="14"/>
      </w:rPr>
      <w:tab/>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30" w:hanging="170"/>
      </w:pPr>
      <w:rPr>
        <w:color w:val="16306E"/>
      </w:rPr>
    </w:lvl>
  </w:abstractNum>
  <w:abstractNum w:abstractNumId="3" w15:restartNumberingAfterBreak="0">
    <w:multiLevelType w:val="hybridMultilevel"/>
    <w:lvl w:ilvl="0" w15:tentative="1">
      <w:start w:val="1"/>
      <w:numFmt w:val="bullet"/>
      <w:lvlText w:val="•"/>
      <w:lvlJc w:val="left"/>
      <w:pPr>
        <w:ind w:left="170" w:hanging="140"/>
      </w:pPr>
      <w:rPr>
        <w:color w:val="6B7280"/>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cs="Aptos" w:eastAsia="Aptos" w:hAnsi="Aptos"/>
        <w:color w:val="1F2430"/>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pPr>
      <w:spacing w:after="60" w:line="252"/>
    </w:pPr>
    <w:rPr>
      <w:rFonts w:ascii="Aptos" w:cs="Aptos" w:eastAsia="Aptos" w:hAnsi="Aptos"/>
      <w:color w:val="1F2430"/>
      <w:sz w:val="19"/>
      <w:szCs w:val="19"/>
    </w:rPr>
  </w:style>
  <w:style w:type="paragraph" w:styleId="SecHead">
    <w:name w:val="Section Heading"/>
    <w:basedOn w:val="Normal"/>
    <w:next w:val="Normal"/>
    <w:qFormat/>
    <w:pPr>
      <w:keepNext/>
      <w:spacing w:after="70" w:before="140"/>
      <w:outlineLvl w:val="0"/>
    </w:pPr>
    <w:rPr>
      <w:rFonts w:ascii="Georgia" w:cs="Georgia" w:eastAsia="Georgia" w:hAnsi="Georgia"/>
      <w:color w:val="16306E"/>
      <w:sz w:val="27"/>
      <w:szCs w:val="27"/>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image" Target="media/f4caadee93629caf06d2beec0d217727439946eb.png"/><Relationship Id="rId9" Type="http://schemas.openxmlformats.org/officeDocument/2006/relationships/image" Target="media/6ff46002e9b373e4adc3f97af37aebf2611a00d1.png"/><Relationship Id="rId10" Type="http://schemas.openxmlformats.org/officeDocument/2006/relationships/image" Target="media/c8df13892e823cc879c14603334d5993cdeaae71.png"/><Relationship Id="rId11" Type="http://schemas.openxmlformats.org/officeDocument/2006/relationships/image" Target="media/0073fabfa618c8bbba78e50f629e171239e41be2.png"/><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Aging in Place 2026: State of the Industry</dc:title>
  <dc:creator>Brian Schoenholtz</dc:creator>
  <dc:description>Two-page report on the United States aging-in-place market, September 2026.</dc:description>
  <cp:lastModifiedBy>Un-named</cp:lastModifiedBy>
  <cp:revision>1</cp:revision>
  <dcterms:created xsi:type="dcterms:W3CDTF">2026-09-10T16:04:16.111Z</dcterms:created>
  <dcterms:modified xsi:type="dcterms:W3CDTF">2026-09-10T16:04:16.112Z</dcterms:modified>
</cp:coreProperties>
</file>

<file path=docProps/custom.xml><?xml version="1.0" encoding="utf-8"?>
<Properties xmlns="http://schemas.openxmlformats.org/officeDocument/2006/custom-properties" xmlns:vt="http://schemas.openxmlformats.org/officeDocument/2006/docPropsVTypes"/>
</file>